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3F2" w:rsidRPr="008E63F2" w:rsidRDefault="008E63F2" w:rsidP="008E6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8E63F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ЗАКЛЮЧЕНИЕ</w:t>
      </w:r>
    </w:p>
    <w:p w:rsidR="008E63F2" w:rsidRPr="008E63F2" w:rsidRDefault="008E63F2" w:rsidP="008E6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8E63F2">
        <w:rPr>
          <w:rFonts w:ascii="Times New Roman" w:eastAsia="Calibri" w:hAnsi="Times New Roman" w:cs="Times New Roman"/>
          <w:b/>
          <w:szCs w:val="24"/>
        </w:rPr>
        <w:t>об оценке регулирующего воздействия</w:t>
      </w:r>
      <w:r w:rsidRPr="008E63F2">
        <w:rPr>
          <w:rFonts w:ascii="Times New Roman" w:eastAsia="Calibri" w:hAnsi="Times New Roman" w:cs="Times New Roman"/>
          <w:szCs w:val="24"/>
        </w:rPr>
        <w:t xml:space="preserve"> </w:t>
      </w:r>
      <w:r w:rsidRPr="008E63F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для проектов нормативных правовых актов низкой степени регулирующего воздействия</w:t>
      </w:r>
    </w:p>
    <w:p w:rsidR="008E63F2" w:rsidRPr="008E63F2" w:rsidRDefault="008E63F2" w:rsidP="008E6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44"/>
        <w:gridCol w:w="1323"/>
        <w:gridCol w:w="38"/>
        <w:gridCol w:w="387"/>
        <w:gridCol w:w="1200"/>
        <w:gridCol w:w="360"/>
        <w:gridCol w:w="992"/>
        <w:gridCol w:w="632"/>
        <w:gridCol w:w="1211"/>
        <w:gridCol w:w="1201"/>
      </w:tblGrid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Вид, наименование и планируемый срок вступления в силу нормативного правового акта (далее – акта)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Вид, наименование проекта акта: </w:t>
            </w: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постановление администрации городского округа Верх-Нейвинский </w:t>
            </w:r>
            <w:r w:rsidR="005419F7" w:rsidRPr="005419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«О проведении открытого аукциона»</w:t>
            </w:r>
          </w:p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________________________________________________________________</w:t>
            </w:r>
          </w:p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Планируемый срок вступления в силу: </w:t>
            </w:r>
            <w:r w:rsidR="005419F7" w:rsidRPr="005419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29.03.2022</w:t>
            </w:r>
          </w:p>
        </w:tc>
      </w:tr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Сведения о разработчике проекта акта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Calibri" w:hAnsi="Times New Roman" w:cs="Times New Roman"/>
                <w:szCs w:val="24"/>
              </w:rPr>
              <w:t>Специалист администрации городского округа Верх-Нейвинский</w:t>
            </w: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разработавший проект акта (далее - разработчик): </w:t>
            </w:r>
          </w:p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E63F2" w:rsidRPr="0031564D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Ф.И.О. исполнителя разработчика: Груздева Эльмира </w:t>
            </w:r>
            <w:proofErr w:type="spellStart"/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Фирдависовна</w:t>
            </w:r>
            <w:proofErr w:type="spellEnd"/>
          </w:p>
          <w:p w:rsidR="008E63F2" w:rsidRPr="0031564D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Должность: специалист 1 категории по муниципальной собственности администрации городского округа Верх-Нейвинский</w:t>
            </w:r>
          </w:p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Тел.: 8 (34370)5-93-95</w:t>
            </w:r>
          </w:p>
        </w:tc>
      </w:tr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 направления участниками публичных консультаций своих предложений:</w:t>
            </w:r>
            <w:r w:rsidRPr="008E63F2">
              <w:rPr>
                <w:rFonts w:ascii="Calibri" w:eastAsia="Times New Roman" w:hAnsi="Calibri" w:cs="Times New Roman"/>
                <w:sz w:val="22"/>
                <w:lang w:eastAsia="ru-RU"/>
              </w:rPr>
              <w:t xml:space="preserve"> </w:t>
            </w: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Электронная почта: </w:t>
            </w:r>
            <w:hyperlink r:id="rId4" w:history="1">
              <w:r w:rsidRPr="0031564D">
                <w:rPr>
                  <w:rStyle w:val="a3"/>
                  <w:rFonts w:ascii="Times New Roman" w:eastAsia="Times New Roman" w:hAnsi="Times New Roman" w:cs="Times New Roman"/>
                  <w:b/>
                  <w:szCs w:val="24"/>
                  <w:lang w:eastAsia="ru-RU"/>
                </w:rPr>
                <w:t>wnadm@mail.ru</w:t>
              </w:r>
            </w:hyperlink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или по адресу: 624170, Свердловская обл., </w:t>
            </w:r>
            <w:proofErr w:type="spellStart"/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пгт</w:t>
            </w:r>
            <w:proofErr w:type="spellEnd"/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. Верх-Нейвинский, пл. Революции, д. 3, </w:t>
            </w:r>
            <w:proofErr w:type="spellStart"/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каб</w:t>
            </w:r>
            <w:proofErr w:type="spellEnd"/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 5</w:t>
            </w:r>
          </w:p>
        </w:tc>
      </w:tr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Степень регулирующего воздействия проекта акта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4.1. Степень регулирующего воздействия проекта акта: </w:t>
            </w:r>
            <w:r w:rsidRPr="008E63F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низкая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B22860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4.2. Обоснование отнесения проекта акта к низкой степени регулирующего воздействия: </w:t>
            </w:r>
            <w:r w:rsidRPr="00B2286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Поскольку предлагаемый проект акта регулирует вопросы в сфере </w:t>
            </w:r>
            <w:r w:rsidR="00D86FFC" w:rsidRPr="00D86FF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размещения нестационарных торговых объектов, </w:t>
            </w:r>
            <w:r w:rsidRPr="00B2286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он относится к проектам муниципальных нормативных правовых актов, имеющих низкую степень регулирующего воздействия (глава 1, пункт 2, подпункт 3 к Постановлению администрации городского округа Верх-Нейвинский от 13.01.2022 № 4 «О проведении оценки регулирующего воздействия проектов нормативных правовых актов городского округа Верх-Нейвинский и экспертизы</w:t>
            </w:r>
            <w:r w:rsidRPr="00B22860">
              <w:rPr>
                <w:b/>
              </w:rPr>
              <w:t xml:space="preserve"> </w:t>
            </w:r>
            <w:r w:rsidRPr="00B2286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нормативных правовых актов городского округа Верх-Нейвинский»)</w:t>
            </w:r>
          </w:p>
          <w:p w:rsid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3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4.3. Срок проведения публичных консультаций: </w:t>
            </w:r>
            <w:r w:rsidRPr="00B2286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10 рабочих дней со дня размещения проекта акта на официальном сайте - </w:t>
            </w:r>
            <w:r w:rsidR="00D86FF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</w:t>
            </w:r>
            <w:r w:rsidR="00D86FFC" w:rsidRPr="00D86FF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16.03.2022 по 29.03.2022</w:t>
            </w:r>
          </w:p>
        </w:tc>
      </w:tr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5.1. Описание проблемы, на решение которой направлен предлагаемый способ регулирования, условий и факторов ее существования: </w:t>
            </w:r>
          </w:p>
          <w:p w:rsidR="008E63F2" w:rsidRPr="008E63F2" w:rsidRDefault="00D86FFC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86FF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Недостаточная обеспеченность населения площадью торговых объектов на территории городского округа Верх-Нейвинский, низкий уровень малого и среднего предпринимательства в городском округе Верх-Нейвинский</w:t>
            </w:r>
          </w:p>
          <w:p w:rsidR="00B22860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5.2. Негативные эффекты, возникающие в связи с наличием проблемы: </w:t>
            </w:r>
          </w:p>
          <w:p w:rsidR="00D86FFC" w:rsidRPr="00D86FFC" w:rsidRDefault="00D86FFC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86FF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Недостаточное поступление налоговых доходов в бюджет городского округа Верх-Нейвинский</w:t>
            </w:r>
          </w:p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5.3. Источники данных: </w:t>
            </w:r>
            <w:r w:rsidR="008E7704" w:rsidRPr="00B2286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справочно-правовая система «Консультант Плюс», финансовая отчетность и бюджет городского округа Верх-Нейвинский</w:t>
            </w:r>
          </w:p>
        </w:tc>
      </w:tr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 муниципального опыта в соответствующих сферах деятельности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04" w:rsidRPr="0031564D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77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6.1. Муниципальный опыт в соответствующих сферах: </w:t>
            </w:r>
            <w:r w:rsidR="00D86FFC" w:rsidRPr="00D86FF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успешно применяется в городском округе Верх-Нейвинский. </w:t>
            </w:r>
            <w:r w:rsidR="00D86FF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Действует</w:t>
            </w:r>
            <w:r w:rsidR="00D86FFC" w:rsidRPr="00D86FF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порядка 18 договоров на размещение нестационарных торговых объектов на территории городского округа Верх-Нейвинский</w:t>
            </w:r>
          </w:p>
          <w:p w:rsidR="008E7704" w:rsidRPr="008E7704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E63F2" w:rsidRPr="008E63F2" w:rsidRDefault="008E7704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77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6.2. Источники данных: </w:t>
            </w:r>
            <w:r w:rsidR="00D86FFC" w:rsidRPr="00D86FF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договоры на размещение нестационарных торговых объектов на территории городского округа Верх-Нейвинский, финансовая отчетность администрации</w:t>
            </w:r>
          </w:p>
        </w:tc>
      </w:tr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</w:t>
            </w:r>
          </w:p>
        </w:tc>
      </w:tr>
      <w:tr w:rsidR="008E63F2" w:rsidRPr="008E63F2" w:rsidTr="008E7704"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7.1. Цели предлагаемого регулирования: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7.2. Установленные сроки достижения целей предлагаемого регулирования: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7.3. Положения проекта, направленные на достижение целей регулирования</w:t>
            </w:r>
          </w:p>
        </w:tc>
      </w:tr>
      <w:tr w:rsidR="00D86FFC" w:rsidRPr="008E63F2" w:rsidTr="008E7704"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FC" w:rsidRPr="00D86FFC" w:rsidRDefault="00D86FFC" w:rsidP="00D86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86FF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Цель 1 Развитие нестационарной розничной торговой сети на территории городского округа Верх-Нейвинский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FC" w:rsidRPr="00D86FFC" w:rsidRDefault="00D86FFC" w:rsidP="00D86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86FF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01.05.2022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FC" w:rsidRPr="00D86FFC" w:rsidRDefault="00D86FFC" w:rsidP="00D86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86FF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Пункты 1</w:t>
            </w:r>
          </w:p>
        </w:tc>
      </w:tr>
      <w:tr w:rsidR="00D86FFC" w:rsidRPr="008E63F2" w:rsidTr="008E7704"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FC" w:rsidRPr="00D86FFC" w:rsidRDefault="00D86FFC" w:rsidP="00D86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86FF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Цель 2 Поступление в бюджет городского округа Верх-Нейвинский дополнительных финансовых средств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FC" w:rsidRPr="00D86FFC" w:rsidRDefault="00D86FFC" w:rsidP="00D86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86FF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01.05.2022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FC" w:rsidRPr="00D86FFC" w:rsidRDefault="00D86FFC" w:rsidP="00D86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86FF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Пункты 1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04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7.4. 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</w:t>
            </w:r>
            <w:r w:rsidR="008E77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вительства Свердловской области</w:t>
            </w:r>
            <w:r w:rsidR="008E7704" w:rsidRPr="006D3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:</w:t>
            </w:r>
            <w:r w:rsidR="008E77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E63F2" w:rsidRPr="008E63F2" w:rsidRDefault="008E7704" w:rsidP="00040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Повышение эффективности использования муниципального имущества и пополнение бюджетной системы в соотве</w:t>
            </w:r>
            <w:r w:rsidR="0004035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тствии с Бюджетным кодексом РФ</w:t>
            </w:r>
          </w:p>
        </w:tc>
      </w:tr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 предлагаемого регулирования и иных возможных способов решения проблемы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8.1. Описание предлагаемого способа решения проблемы и преодоления связанных с ней не</w:t>
            </w:r>
            <w:r w:rsidR="008E770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гативных эффектов: </w:t>
            </w:r>
            <w:r w:rsidR="008E7704"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отсутствует</w:t>
            </w:r>
          </w:p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E63F2" w:rsidRPr="008E63F2" w:rsidRDefault="008E63F2" w:rsidP="008E7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8.2. Описание иных способов решения проблемы, в том числе без вмешательства со стороны государства (с указанием того, каким образом каждым из способов могла бы быть решена проблема): </w:t>
            </w:r>
            <w:r w:rsidR="008E7704"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отсутствует</w:t>
            </w:r>
          </w:p>
        </w:tc>
      </w:tr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 группы лиц, чьи интересы будут затронуты предлагаемым правовым регулированием</w:t>
            </w:r>
          </w:p>
        </w:tc>
      </w:tr>
      <w:tr w:rsidR="00040359" w:rsidRPr="008E63F2" w:rsidTr="0024354C">
        <w:tc>
          <w:tcPr>
            <w:tcW w:w="3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359" w:rsidRDefault="00040359" w:rsidP="0004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3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9.1. Группа участников отношений:</w:t>
            </w:r>
          </w:p>
          <w:p w:rsidR="00040359" w:rsidRPr="00040359" w:rsidRDefault="00040359" w:rsidP="0004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4035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9.1.1. Администрация городского округа Верх-Нейвинский </w:t>
            </w:r>
          </w:p>
          <w:p w:rsidR="00040359" w:rsidRPr="00040359" w:rsidRDefault="00040359" w:rsidP="0004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4035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9.1.2. индивидуальные предприниматели</w:t>
            </w:r>
          </w:p>
          <w:p w:rsidR="00040359" w:rsidRPr="006D39B8" w:rsidRDefault="00040359" w:rsidP="0004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035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9.1.3. юридические лица</w:t>
            </w:r>
          </w:p>
        </w:tc>
        <w:tc>
          <w:tcPr>
            <w:tcW w:w="5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59" w:rsidRPr="006D39B8" w:rsidRDefault="00040359" w:rsidP="0004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3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9.2. Оценка количества участников отношений:</w:t>
            </w:r>
          </w:p>
          <w:p w:rsidR="00040359" w:rsidRPr="006D39B8" w:rsidRDefault="00040359" w:rsidP="0004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3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 стадии разработки акта:</w:t>
            </w:r>
          </w:p>
          <w:p w:rsidR="00040359" w:rsidRPr="00040359" w:rsidRDefault="00040359" w:rsidP="0004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4035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9.2.1. нет</w:t>
            </w:r>
          </w:p>
          <w:p w:rsidR="00040359" w:rsidRPr="00040359" w:rsidRDefault="00040359" w:rsidP="0004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4035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9.2.2. нет</w:t>
            </w:r>
          </w:p>
          <w:p w:rsidR="00040359" w:rsidRPr="00040359" w:rsidRDefault="00040359" w:rsidP="0004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4035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9.2.3. нет</w:t>
            </w:r>
          </w:p>
          <w:p w:rsidR="00040359" w:rsidRPr="006D39B8" w:rsidRDefault="00040359" w:rsidP="0004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040359" w:rsidRDefault="00040359" w:rsidP="0004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3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9.3. После введения предлагаемого регулирования:</w:t>
            </w:r>
          </w:p>
          <w:p w:rsidR="00040359" w:rsidRPr="00040359" w:rsidRDefault="00040359" w:rsidP="0004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4035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9.3.1. один</w:t>
            </w:r>
          </w:p>
          <w:p w:rsidR="00040359" w:rsidRPr="00040359" w:rsidRDefault="00040359" w:rsidP="0004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4035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9.3.2. неограниченное</w:t>
            </w:r>
          </w:p>
          <w:p w:rsidR="00040359" w:rsidRPr="006D39B8" w:rsidRDefault="00040359" w:rsidP="00040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035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9.3.2. неограниченное</w:t>
            </w:r>
          </w:p>
        </w:tc>
      </w:tr>
      <w:tr w:rsidR="008E63F2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9.4. Источники данных: (место для текстового описания)</w:t>
            </w:r>
          </w:p>
        </w:tc>
      </w:tr>
      <w:tr w:rsidR="008E63F2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Риски решения проблемы предложенным способом регулирования и риски негативных последствий</w:t>
            </w:r>
          </w:p>
        </w:tc>
      </w:tr>
      <w:tr w:rsidR="008E63F2" w:rsidRPr="008E63F2" w:rsidTr="0024354C">
        <w:tc>
          <w:tcPr>
            <w:tcW w:w="3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10.1. Риски решения проблемы предложенным способом и риски негативных последствий: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10.2. Оценки вероятности наступления рисков: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10.3. Методы контроля эффективности избранного способа достижения целей регулирования: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F2" w:rsidRPr="008E63F2" w:rsidRDefault="008E63F2" w:rsidP="008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10.4. Степень контроля рисков:</w:t>
            </w:r>
          </w:p>
        </w:tc>
      </w:tr>
      <w:tr w:rsidR="00C86C3A" w:rsidRPr="008E63F2" w:rsidTr="001703AC">
        <w:tc>
          <w:tcPr>
            <w:tcW w:w="3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A" w:rsidRPr="00C86C3A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8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Риск </w:t>
            </w:r>
          </w:p>
        </w:tc>
        <w:tc>
          <w:tcPr>
            <w:tcW w:w="5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A" w:rsidRPr="00C86C3A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8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Отсутствует </w:t>
            </w:r>
            <w:r w:rsidRPr="00C8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</w:tr>
      <w:tr w:rsidR="00C86C3A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C86C3A" w:rsidRPr="008E63F2" w:rsidTr="008E7704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11.1. Мероприятия, необходимые для достижения целей регулирования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11.2. Сроки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11.3. Описание ожидаемого результата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11.4. Объем финансирования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11.5. Источник финансирования</w:t>
            </w:r>
          </w:p>
        </w:tc>
      </w:tr>
      <w:tr w:rsidR="00C86C3A" w:rsidRPr="008E63F2" w:rsidTr="008E7704"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A" w:rsidRPr="00C86C3A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8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Мероприятия: информационные – опубликование извещения и НПА о проведении аукциона в газете «Верх-Нейвинский вестник» и на официальном сайте городского округа Верх-Нейвинский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A" w:rsidRPr="00C86C3A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8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До 08.04.2022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A" w:rsidRPr="00C86C3A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8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Информирование потенциальных участников о проведении аукциона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A" w:rsidRPr="00C86C3A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8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 руб.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A" w:rsidRPr="00C86C3A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8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Нет </w:t>
            </w:r>
          </w:p>
        </w:tc>
      </w:tr>
      <w:tr w:rsidR="00C86C3A" w:rsidRPr="008E63F2" w:rsidTr="008E77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</w:t>
            </w:r>
          </w:p>
        </w:tc>
        <w:tc>
          <w:tcPr>
            <w:tcW w:w="8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A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Оценка позитивных и негативных эффектов для общества при введении предлагаемого регулирования: </w:t>
            </w:r>
          </w:p>
          <w:p w:rsidR="00C86C3A" w:rsidRPr="0031564D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Повышение эффективности использования муниципального имущества</w:t>
            </w:r>
          </w:p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- Поступление в бюджет городского округа Верх-Нейвинский дополнительных финансовых средств от продажи убыточных непрофильных объектов</w:t>
            </w:r>
          </w:p>
        </w:tc>
      </w:tr>
      <w:tr w:rsidR="00C86C3A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A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13. Сведения о размещении уведомления о подготовке проекта акта </w:t>
            </w:r>
          </w:p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 официальном сайте городского округа Верх-Нейвинский</w:t>
            </w:r>
          </w:p>
        </w:tc>
      </w:tr>
      <w:tr w:rsidR="00C86C3A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 Сведения о проведении публичных консультаций</w:t>
            </w:r>
          </w:p>
        </w:tc>
      </w:tr>
      <w:tr w:rsidR="00C86C3A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14.1. Сведения об организациях, извещениях о проведении публичных консультаций: организации, заключившие соглашение о сотрудничестве при проведении ОРВ</w:t>
            </w:r>
          </w:p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Новоуральский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филиал Уральской торгово-промышленной палаты</w:t>
            </w:r>
            <w:r w:rsidRPr="00B2286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</w:tr>
      <w:tr w:rsidR="00C86C3A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14.2. Статистика предложений, поступивших по итогам публичных консультаций</w:t>
            </w:r>
          </w:p>
          <w:p w:rsidR="00C86C3A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Общее количество поступивших предложений по проекту акта: </w:t>
            </w:r>
          </w:p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 них:</w:t>
            </w:r>
          </w:p>
          <w:p w:rsidR="00C86C3A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Мнений о поддержке акта: </w:t>
            </w:r>
          </w:p>
          <w:p w:rsidR="00C86C3A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учтенных предложений: </w:t>
            </w:r>
          </w:p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частично учтенных предложений: </w:t>
            </w:r>
          </w:p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неучтенных предложений: </w:t>
            </w:r>
          </w:p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86C3A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Общее количество поступивших предложений по сопроводительным документам: </w:t>
            </w:r>
          </w:p>
          <w:p w:rsidR="00C86C3A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из них учтено: </w:t>
            </w:r>
          </w:p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не учтено: </w:t>
            </w:r>
          </w:p>
        </w:tc>
      </w:tr>
      <w:tr w:rsidR="00C86C3A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14.3. Устраненные в ходе подготовки и обсуждения проекта акта административные барьеры и избыточные издержки:</w:t>
            </w:r>
          </w:p>
        </w:tc>
      </w:tr>
      <w:tr w:rsidR="00C86C3A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 Выводы о целесообразности предлагаемого регулирования</w:t>
            </w:r>
          </w:p>
        </w:tc>
      </w:tr>
      <w:tr w:rsidR="00C86C3A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A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15.1. Оценка позитивных и негативных эффектов для общества при введении предлагаемого регулирования: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C86C3A" w:rsidRPr="00C86C3A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8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поступление дополнительных неналоговых и налоговых доходов в бюджет городского округа</w:t>
            </w:r>
            <w:bookmarkStart w:id="0" w:name="_GoBack"/>
            <w:bookmarkEnd w:id="0"/>
          </w:p>
        </w:tc>
      </w:tr>
      <w:tr w:rsidR="00C86C3A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A" w:rsidRPr="008E63F2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15.2. Источники данных: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87047" w:rsidRPr="007F681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справочно-правовая система «Консультант Плюс», финансовая отчетность и бюджет городского округа Верх-Нейвинский</w:t>
            </w:r>
            <w:r w:rsidR="00C8704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, </w:t>
            </w:r>
            <w:r w:rsidR="00C87047" w:rsidRPr="002B31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отчет о социально-экономическом развитии городского округа Верх-Нейвинский</w:t>
            </w:r>
          </w:p>
        </w:tc>
      </w:tr>
      <w:tr w:rsidR="00C86C3A" w:rsidRPr="008E63F2" w:rsidTr="008E7704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3A" w:rsidRDefault="00C86C3A" w:rsidP="00C8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63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15.3. Вывод о наличии либо об отсутствии в итоговой редакции проекта акта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деятельности, а также бюджетов всех уровней бюджетной системы Российской Федерации:</w:t>
            </w:r>
          </w:p>
          <w:p w:rsidR="00C86C3A" w:rsidRPr="008E63F2" w:rsidRDefault="00C86C3A" w:rsidP="00C8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8E63F2" w:rsidRPr="008E63F2" w:rsidRDefault="008E63F2" w:rsidP="008E6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E63F2" w:rsidRPr="008E63F2" w:rsidRDefault="008E63F2" w:rsidP="008E6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E63F2">
        <w:rPr>
          <w:rFonts w:ascii="Times New Roman" w:eastAsia="Times New Roman" w:hAnsi="Times New Roman" w:cs="Times New Roman"/>
          <w:szCs w:val="24"/>
          <w:lang w:eastAsia="ru-RU"/>
        </w:rPr>
        <w:t>Приложение: Сводка предложений с указанием сведений об их учете или причинах отклонения. (указание (при наличии) на иные приложения.)</w:t>
      </w:r>
    </w:p>
    <w:p w:rsidR="008E63F2" w:rsidRPr="008E63F2" w:rsidRDefault="008E63F2" w:rsidP="008E6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E63F2" w:rsidRPr="006D39B8" w:rsidRDefault="008E63F2" w:rsidP="008E6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E63F2" w:rsidRPr="006D39B8" w:rsidRDefault="008E63F2" w:rsidP="008E6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Глава городского округа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Н.Н.Щекалев</w:t>
      </w:r>
      <w:proofErr w:type="spellEnd"/>
    </w:p>
    <w:sectPr w:rsidR="008E63F2" w:rsidRPr="006D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55"/>
    <w:rsid w:val="00040359"/>
    <w:rsid w:val="00213D96"/>
    <w:rsid w:val="0024354C"/>
    <w:rsid w:val="0031564D"/>
    <w:rsid w:val="00393947"/>
    <w:rsid w:val="005419F7"/>
    <w:rsid w:val="005F4201"/>
    <w:rsid w:val="0066193E"/>
    <w:rsid w:val="0072306A"/>
    <w:rsid w:val="008C715E"/>
    <w:rsid w:val="008E63F2"/>
    <w:rsid w:val="008E7704"/>
    <w:rsid w:val="00B22860"/>
    <w:rsid w:val="00C40455"/>
    <w:rsid w:val="00C86C3A"/>
    <w:rsid w:val="00C87047"/>
    <w:rsid w:val="00CA5074"/>
    <w:rsid w:val="00D8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86AF"/>
  <w15:chartTrackingRefBased/>
  <w15:docId w15:val="{8B2702AA-3D16-4E6D-AC43-14D01418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074"/>
    <w:rPr>
      <w:rFonts w:ascii="PT Astra Serif" w:hAnsi="PT Astra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3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n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</dc:creator>
  <cp:keywords/>
  <dc:description/>
  <cp:lastModifiedBy>Gubina</cp:lastModifiedBy>
  <cp:revision>5</cp:revision>
  <dcterms:created xsi:type="dcterms:W3CDTF">2022-02-01T07:05:00Z</dcterms:created>
  <dcterms:modified xsi:type="dcterms:W3CDTF">2022-03-28T12:01:00Z</dcterms:modified>
</cp:coreProperties>
</file>